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C" w:rsidRDefault="00925E2C">
      <w:pPr>
        <w:spacing w:beforeLines="50" w:before="156" w:afterLines="50" w:after="156" w:line="200" w:lineRule="exact"/>
        <w:jc w:val="center"/>
        <w:rPr>
          <w:rFonts w:ascii="Arial" w:eastAsia="黑体" w:hAnsi="Arial" w:cs="Arial" w:hint="eastAsia"/>
          <w:sz w:val="30"/>
          <w:szCs w:val="30"/>
        </w:rPr>
      </w:pPr>
      <w:bookmarkStart w:id="0" w:name="_GoBack"/>
      <w:bookmarkEnd w:id="0"/>
    </w:p>
    <w:p w:rsidR="00925E2C" w:rsidRDefault="00925E2C">
      <w:pPr>
        <w:spacing w:beforeLines="50" w:before="156" w:afterLines="50" w:after="156" w:line="200" w:lineRule="exact"/>
        <w:rPr>
          <w:rFonts w:ascii="Arial" w:eastAsia="黑体" w:hAnsi="Arial" w:cs="Arial"/>
          <w:sz w:val="30"/>
          <w:szCs w:val="30"/>
        </w:rPr>
      </w:pPr>
    </w:p>
    <w:p w:rsidR="00925E2C" w:rsidRPr="00A834A4" w:rsidRDefault="00E35FF2">
      <w:pPr>
        <w:spacing w:beforeLines="50" w:before="156" w:afterLines="50" w:after="156"/>
        <w:jc w:val="center"/>
        <w:rPr>
          <w:rFonts w:ascii="楷体" w:eastAsia="楷体" w:hAnsi="楷体" w:cs="华文行楷"/>
          <w:sz w:val="84"/>
          <w:szCs w:val="84"/>
        </w:rPr>
      </w:pPr>
      <w:r w:rsidRPr="00A834A4">
        <w:rPr>
          <w:rFonts w:ascii="楷体" w:eastAsia="楷体" w:hAnsi="楷体" w:cs="华文行楷" w:hint="eastAsia"/>
          <w:sz w:val="84"/>
          <w:szCs w:val="84"/>
        </w:rPr>
        <w:t>内蒙古自治区镍钴矿</w:t>
      </w:r>
    </w:p>
    <w:p w:rsidR="00925E2C" w:rsidRPr="00A834A4" w:rsidRDefault="00E35FF2">
      <w:pPr>
        <w:spacing w:beforeLines="50" w:before="156" w:afterLines="50" w:after="156"/>
        <w:jc w:val="center"/>
        <w:rPr>
          <w:rFonts w:ascii="楷体" w:eastAsia="楷体" w:hAnsi="楷体" w:cs="华文行楷"/>
          <w:sz w:val="84"/>
          <w:szCs w:val="84"/>
        </w:rPr>
      </w:pPr>
      <w:r w:rsidRPr="00A834A4">
        <w:rPr>
          <w:rFonts w:ascii="楷体" w:eastAsia="楷体" w:hAnsi="楷体" w:cs="华文行楷" w:hint="eastAsia"/>
          <w:sz w:val="84"/>
          <w:szCs w:val="84"/>
        </w:rPr>
        <w:t>股权转让项目</w:t>
      </w:r>
    </w:p>
    <w:p w:rsidR="00925E2C" w:rsidRPr="00A834A4" w:rsidRDefault="00E35FF2">
      <w:pPr>
        <w:spacing w:beforeLines="50" w:before="156" w:afterLines="50" w:after="156"/>
        <w:jc w:val="center"/>
        <w:rPr>
          <w:rFonts w:ascii="楷体" w:eastAsia="楷体" w:hAnsi="楷体" w:cs="华文行楷"/>
          <w:sz w:val="84"/>
          <w:szCs w:val="84"/>
        </w:rPr>
      </w:pPr>
      <w:r w:rsidRPr="00A834A4">
        <w:rPr>
          <w:rFonts w:ascii="楷体" w:eastAsia="楷体" w:hAnsi="楷体" w:cs="华文行楷" w:hint="eastAsia"/>
          <w:sz w:val="84"/>
          <w:szCs w:val="84"/>
        </w:rPr>
        <w:t>简    介</w:t>
      </w:r>
    </w:p>
    <w:p w:rsidR="00925E2C" w:rsidRDefault="00925E2C">
      <w:pPr>
        <w:spacing w:beforeLines="50" w:before="156" w:afterLines="50" w:after="156" w:line="200" w:lineRule="exact"/>
        <w:jc w:val="center"/>
        <w:rPr>
          <w:rFonts w:ascii="Arial" w:eastAsia="黑体" w:hAnsi="Arial" w:cs="Arial"/>
          <w:sz w:val="30"/>
          <w:szCs w:val="30"/>
        </w:rPr>
      </w:pPr>
    </w:p>
    <w:p w:rsidR="00925E2C" w:rsidRDefault="00925E2C">
      <w:pPr>
        <w:spacing w:beforeLines="50" w:before="156" w:afterLines="50" w:after="156"/>
        <w:jc w:val="center"/>
        <w:rPr>
          <w:rFonts w:ascii="Arial" w:eastAsia="黑体" w:hAnsi="Arial" w:cs="Arial"/>
          <w:sz w:val="30"/>
          <w:szCs w:val="30"/>
        </w:rPr>
      </w:pPr>
    </w:p>
    <w:p w:rsidR="00925E2C" w:rsidRDefault="00E35FF2">
      <w:pPr>
        <w:spacing w:beforeLines="50" w:before="156" w:afterLines="50" w:after="156"/>
        <w:ind w:leftChars="-495" w:left="-1" w:hangingChars="346" w:hanging="1038"/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 w:hint="eastAsia"/>
          <w:noProof/>
          <w:sz w:val="30"/>
          <w:szCs w:val="30"/>
        </w:rPr>
        <w:drawing>
          <wp:inline distT="0" distB="0" distL="0" distR="0">
            <wp:extent cx="7525385" cy="4241800"/>
            <wp:effectExtent l="0" t="0" r="18415" b="6350"/>
            <wp:docPr id="102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9" cstate="print">
                      <a:lum bright="6000" contrast="12000"/>
                    </a:blip>
                    <a:srcRect/>
                    <a:stretch/>
                  </pic:blipFill>
                  <pic:spPr>
                    <a:xfrm>
                      <a:off x="0" y="0"/>
                      <a:ext cx="752538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2C" w:rsidRDefault="00925E2C">
      <w:pPr>
        <w:spacing w:beforeLines="50" w:before="156" w:afterLines="50" w:after="156" w:line="380" w:lineRule="exact"/>
        <w:jc w:val="center"/>
        <w:rPr>
          <w:rFonts w:ascii="Arial" w:eastAsia="黑体" w:hAnsi="Arial" w:cs="Arial"/>
          <w:sz w:val="30"/>
          <w:szCs w:val="30"/>
        </w:rPr>
      </w:pPr>
    </w:p>
    <w:p w:rsidR="00925E2C" w:rsidRDefault="00E35FF2">
      <w:pPr>
        <w:spacing w:beforeLines="50" w:before="156" w:afterLines="50" w:after="156" w:line="38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lastRenderedPageBreak/>
        <w:t>G104</w:t>
      </w:r>
      <w:r>
        <w:rPr>
          <w:rFonts w:ascii="黑体" w:eastAsia="黑体" w:hAnsi="黑体" w:hint="eastAsia"/>
          <w:sz w:val="30"/>
          <w:szCs w:val="30"/>
        </w:rPr>
        <w:t>内蒙古某镍钴矿项目公司股权转让信息</w:t>
      </w:r>
    </w:p>
    <w:p w:rsidR="00C23937" w:rsidRPr="00C23937" w:rsidRDefault="00C23937" w:rsidP="00C23937">
      <w:pPr>
        <w:spacing w:beforeLines="10" w:before="31" w:afterLines="10" w:after="31" w:line="380" w:lineRule="exact"/>
        <w:jc w:val="right"/>
        <w:rPr>
          <w:rFonts w:ascii="黑体" w:eastAsia="黑体" w:hAnsi="黑体"/>
          <w:szCs w:val="21"/>
        </w:rPr>
      </w:pPr>
      <w:r w:rsidRPr="00C23937">
        <w:rPr>
          <w:rFonts w:ascii="仿宋" w:eastAsia="仿宋" w:hAnsi="仿宋" w:hint="eastAsia"/>
          <w:szCs w:val="21"/>
        </w:rPr>
        <w:t>更新日期：2018年3月12日</w:t>
      </w: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"/>
        <w:gridCol w:w="98"/>
        <w:gridCol w:w="709"/>
        <w:gridCol w:w="1374"/>
        <w:gridCol w:w="1537"/>
        <w:gridCol w:w="731"/>
        <w:gridCol w:w="806"/>
        <w:gridCol w:w="612"/>
        <w:gridCol w:w="425"/>
        <w:gridCol w:w="327"/>
        <w:gridCol w:w="1591"/>
      </w:tblGrid>
      <w:tr w:rsidR="00925E2C">
        <w:trPr>
          <w:trHeight w:val="382"/>
          <w:jc w:val="center"/>
        </w:trPr>
        <w:tc>
          <w:tcPr>
            <w:tcW w:w="17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44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西藏某投资有限公司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申请人所在地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西藏</w:t>
            </w:r>
          </w:p>
        </w:tc>
      </w:tr>
      <w:tr w:rsidR="00925E2C">
        <w:trPr>
          <w:trHeight w:val="383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标的企业名称</w:t>
            </w:r>
          </w:p>
        </w:tc>
        <w:tc>
          <w:tcPr>
            <w:tcW w:w="44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内蒙古某矿业股份有限公司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项目所在地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内蒙古</w:t>
            </w:r>
          </w:p>
        </w:tc>
      </w:tr>
      <w:tr w:rsidR="00925E2C">
        <w:trPr>
          <w:trHeight w:val="321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挂牌期限</w:t>
            </w:r>
          </w:p>
        </w:tc>
        <w:tc>
          <w:tcPr>
            <w:tcW w:w="4449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12个月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转让股权比例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25E2C" w:rsidRDefault="00E35FF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49%</w:t>
            </w:r>
          </w:p>
        </w:tc>
      </w:tr>
      <w:tr w:rsidR="00925E2C" w:rsidTr="00FE733F">
        <w:trPr>
          <w:trHeight w:hRule="exact" w:val="561"/>
          <w:jc w:val="center"/>
        </w:trPr>
        <w:tc>
          <w:tcPr>
            <w:tcW w:w="9927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一、标的企业简况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56"/>
          <w:jc w:val="center"/>
        </w:trPr>
        <w:tc>
          <w:tcPr>
            <w:tcW w:w="1702" w:type="dxa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标的企业</w:t>
            </w:r>
          </w:p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名</w:t>
            </w:r>
            <w:r>
              <w:rPr>
                <w:rFonts w:ascii="仿宋" w:eastAsia="仿宋" w:hAnsi="仿宋"/>
                <w:b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4"/>
              </w:rPr>
              <w:t>称</w:t>
            </w:r>
          </w:p>
        </w:tc>
        <w:tc>
          <w:tcPr>
            <w:tcW w:w="8225" w:type="dxa"/>
            <w:gridSpan w:val="11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lef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内蒙古某矿业股份有限公司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  <w:jc w:val="center"/>
        </w:trPr>
        <w:tc>
          <w:tcPr>
            <w:tcW w:w="1702" w:type="dxa"/>
            <w:vMerge w:val="restart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标的企业</w:t>
            </w:r>
          </w:p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2196" w:type="dxa"/>
            <w:gridSpan w:val="4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6029" w:type="dxa"/>
            <w:gridSpan w:val="7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内蒙古巴彦淖尔市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  <w:jc w:val="center"/>
        </w:trPr>
        <w:tc>
          <w:tcPr>
            <w:tcW w:w="1702" w:type="dxa"/>
            <w:vMerge/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2011年10月10日</w:t>
            </w:r>
          </w:p>
        </w:tc>
        <w:tc>
          <w:tcPr>
            <w:tcW w:w="1843" w:type="dxa"/>
            <w:gridSpan w:val="3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1918" w:type="dxa"/>
            <w:gridSpan w:val="2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矿业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  <w:jc w:val="center"/>
        </w:trPr>
        <w:tc>
          <w:tcPr>
            <w:tcW w:w="1702" w:type="dxa"/>
            <w:vMerge/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</w:tc>
        <w:tc>
          <w:tcPr>
            <w:tcW w:w="2268" w:type="dxa"/>
            <w:gridSpan w:val="2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3000万元</w:t>
            </w:r>
          </w:p>
        </w:tc>
        <w:tc>
          <w:tcPr>
            <w:tcW w:w="1843" w:type="dxa"/>
            <w:gridSpan w:val="3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实收资本</w:t>
            </w:r>
          </w:p>
        </w:tc>
        <w:tc>
          <w:tcPr>
            <w:tcW w:w="1918" w:type="dxa"/>
            <w:gridSpan w:val="2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3000万元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  <w:jc w:val="center"/>
        </w:trPr>
        <w:tc>
          <w:tcPr>
            <w:tcW w:w="1702" w:type="dxa"/>
            <w:vMerge/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rPr>
                <w:rFonts w:ascii="仿宋" w:eastAsia="仿宋" w:hAnsi="仿宋"/>
                <w:b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经济类型</w:t>
            </w:r>
          </w:p>
        </w:tc>
        <w:tc>
          <w:tcPr>
            <w:tcW w:w="2268" w:type="dxa"/>
            <w:gridSpan w:val="2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股份制</w:t>
            </w:r>
          </w:p>
        </w:tc>
        <w:tc>
          <w:tcPr>
            <w:tcW w:w="1843" w:type="dxa"/>
            <w:gridSpan w:val="3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rPr>
                <w:rFonts w:ascii="仿宋" w:eastAsia="仿宋" w:hAnsi="仿宋"/>
                <w:b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公司类型</w:t>
            </w:r>
          </w:p>
        </w:tc>
        <w:tc>
          <w:tcPr>
            <w:tcW w:w="1918" w:type="dxa"/>
            <w:gridSpan w:val="2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股份有限公司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6"/>
          <w:jc w:val="center"/>
        </w:trPr>
        <w:tc>
          <w:tcPr>
            <w:tcW w:w="1702" w:type="dxa"/>
            <w:vMerge/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经营</w:t>
            </w:r>
          </w:p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范围</w:t>
            </w:r>
          </w:p>
        </w:tc>
        <w:tc>
          <w:tcPr>
            <w:tcW w:w="7403" w:type="dxa"/>
            <w:gridSpan w:val="8"/>
            <w:vAlign w:val="center"/>
          </w:tcPr>
          <w:p w:rsidR="00925E2C" w:rsidRDefault="00E35FF2">
            <w:pPr>
              <w:pStyle w:val="ab"/>
              <w:adjustRightInd w:val="0"/>
              <w:snapToGrid w:val="0"/>
              <w:spacing w:before="0" w:after="0" w:line="3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矿产品销售（除控制品外）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702" w:type="dxa"/>
            <w:vMerge w:val="restart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标的企业</w:t>
            </w:r>
          </w:p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股权结构</w:t>
            </w:r>
          </w:p>
        </w:tc>
        <w:tc>
          <w:tcPr>
            <w:tcW w:w="5882" w:type="dxa"/>
            <w:gridSpan w:val="8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股东名称</w:t>
            </w:r>
          </w:p>
        </w:tc>
        <w:tc>
          <w:tcPr>
            <w:tcW w:w="2343" w:type="dxa"/>
            <w:gridSpan w:val="3"/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持股比例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702" w:type="dxa"/>
            <w:vMerge/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1、内蒙古某勘查开发有限责任公司</w:t>
            </w:r>
          </w:p>
        </w:tc>
        <w:tc>
          <w:tcPr>
            <w:tcW w:w="2343" w:type="dxa"/>
            <w:gridSpan w:val="3"/>
            <w:tcBorders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51%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702" w:type="dxa"/>
            <w:vMerge/>
            <w:tcBorders>
              <w:bottom w:val="single" w:sz="6" w:space="0" w:color="auto"/>
            </w:tcBorders>
            <w:vAlign w:val="center"/>
          </w:tcPr>
          <w:p w:rsidR="00925E2C" w:rsidRDefault="00925E2C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2、西藏某投资有限公司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49%</w:t>
            </w:r>
          </w:p>
        </w:tc>
      </w:tr>
      <w:tr w:rsidR="00925E2C" w:rsidTr="00FE733F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1"/>
          <w:jc w:val="center"/>
        </w:trPr>
        <w:tc>
          <w:tcPr>
            <w:tcW w:w="9927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二、矿业权简况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  <w:jc w:val="center"/>
        </w:trPr>
        <w:tc>
          <w:tcPr>
            <w:tcW w:w="9927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（一）探矿权信息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主要矿种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镍，伴生钴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勘查面积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1.44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平方公里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工作阶段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勘探（探转采）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取得方式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合作勘查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资源量/储量</w:t>
            </w:r>
            <w:bookmarkEnd w:id="1"/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镍金属量（</w:t>
            </w:r>
            <w:r>
              <w:rPr>
                <w:rFonts w:ascii="仿宋" w:eastAsia="仿宋" w:hAnsi="仿宋"/>
                <w:szCs w:val="21"/>
              </w:rPr>
              <w:t>121b+122b+333</w:t>
            </w:r>
            <w:r>
              <w:rPr>
                <w:rFonts w:ascii="仿宋" w:eastAsia="仿宋" w:hAnsi="仿宋" w:hint="eastAsia"/>
                <w:szCs w:val="21"/>
              </w:rPr>
              <w:t>，已备案）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80149.94t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平均品位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0.39%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vAlign w:val="center"/>
          </w:tcPr>
          <w:p w:rsidR="00925E2C" w:rsidRDefault="00925E2C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镍金属量（</w:t>
            </w:r>
            <w:r>
              <w:rPr>
                <w:rFonts w:ascii="仿宋" w:eastAsia="仿宋" w:hAnsi="仿宋"/>
                <w:szCs w:val="21"/>
              </w:rPr>
              <w:t>333</w:t>
            </w:r>
            <w:r>
              <w:rPr>
                <w:rFonts w:ascii="仿宋" w:eastAsia="仿宋" w:hAnsi="仿宋" w:hint="eastAsia"/>
                <w:szCs w:val="21"/>
              </w:rPr>
              <w:t>，首采勘探区以外）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9232.51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平均品位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0.36%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vAlign w:val="center"/>
          </w:tcPr>
          <w:p w:rsidR="00925E2C" w:rsidRDefault="00925E2C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钴金属量（</w:t>
            </w:r>
            <w:r>
              <w:rPr>
                <w:rFonts w:ascii="仿宋" w:eastAsia="仿宋" w:hAnsi="仿宋"/>
                <w:szCs w:val="21"/>
              </w:rPr>
              <w:t>121b+122b+333</w:t>
            </w:r>
            <w:r>
              <w:rPr>
                <w:rFonts w:ascii="仿宋" w:eastAsia="仿宋" w:hAnsi="仿宋" w:hint="eastAsia"/>
                <w:szCs w:val="21"/>
              </w:rPr>
              <w:t>，已备案）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4005.42t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平均品位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0.019%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25E2C" w:rsidRDefault="00925E2C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钴金属量（</w:t>
            </w:r>
            <w:r>
              <w:rPr>
                <w:rFonts w:ascii="仿宋" w:eastAsia="仿宋" w:hAnsi="仿宋"/>
                <w:szCs w:val="21"/>
              </w:rPr>
              <w:t>333</w:t>
            </w:r>
            <w:r>
              <w:rPr>
                <w:rFonts w:ascii="仿宋" w:eastAsia="仿宋" w:hAnsi="仿宋" w:hint="eastAsia"/>
                <w:szCs w:val="21"/>
              </w:rPr>
              <w:t>，首采勘探区以外）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431.67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平均品位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0.18%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已提交</w:t>
            </w:r>
          </w:p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主要文件</w:t>
            </w: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1、探矿权证：9.02平方公里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925E2C" w:rsidRDefault="00925E2C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2、采矿权证：2.4255平方公里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925E2C" w:rsidRDefault="00925E2C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3、项目勘探报告，已通过储量评审中心评审，并经国土资源厅备案。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925E2C" w:rsidRDefault="00925E2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4、项目划定矿区范围批复，矿区面积约2.4255km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925E2C" w:rsidRDefault="00925E2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5、项目矿产资源开发利用方案，已通过评审。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925E2C" w:rsidRDefault="00925E2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6、项目矿山地质环境方案，已通过审查。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7"/>
          <w:jc w:val="center"/>
        </w:trPr>
        <w:tc>
          <w:tcPr>
            <w:tcW w:w="1815" w:type="dxa"/>
            <w:gridSpan w:val="3"/>
            <w:vMerge/>
            <w:vAlign w:val="center"/>
          </w:tcPr>
          <w:p w:rsidR="00925E2C" w:rsidRDefault="00925E2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ind w:left="361" w:hangingChars="139" w:hanging="361"/>
              <w:jc w:val="lef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7、项目环境影响评价报告，已获得批复。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50"/>
          <w:jc w:val="center"/>
        </w:trPr>
        <w:tc>
          <w:tcPr>
            <w:tcW w:w="181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925E2C" w:rsidRDefault="00925E2C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1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ind w:left="361" w:hangingChars="139" w:hanging="361"/>
              <w:jc w:val="lef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8、已签订矿山地质环境治理责任书，缴纳了首期矿山环境治理保证金。</w:t>
            </w:r>
          </w:p>
        </w:tc>
      </w:tr>
      <w:tr w:rsidR="00925E2C" w:rsidTr="00FE733F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1"/>
          <w:jc w:val="center"/>
        </w:trPr>
        <w:tc>
          <w:tcPr>
            <w:tcW w:w="9927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三、交易条件与受让方资格条件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OLE_LINK14"/>
            <w:bookmarkStart w:id="3" w:name="OLE_LINK13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交易条件</w:t>
            </w:r>
            <w:bookmarkEnd w:id="2"/>
            <w:bookmarkEnd w:id="3"/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转让价格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人民币4</w:t>
            </w:r>
            <w:r>
              <w:rPr>
                <w:rFonts w:ascii="仿宋" w:eastAsia="仿宋" w:hAnsi="仿宋"/>
                <w:sz w:val="24"/>
                <w:szCs w:val="24"/>
              </w:rPr>
              <w:t>亿元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可否议价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  <w:jc w:val="center"/>
        </w:trPr>
        <w:tc>
          <w:tcPr>
            <w:tcW w:w="170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5E2C" w:rsidRDefault="00925E2C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支付方式</w:t>
            </w:r>
          </w:p>
        </w:tc>
        <w:tc>
          <w:tcPr>
            <w:tcW w:w="6029" w:type="dxa"/>
            <w:gridSpan w:val="7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优先选择一次性支付，其他方式可议。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83"/>
          <w:jc w:val="center"/>
        </w:trPr>
        <w:tc>
          <w:tcPr>
            <w:tcW w:w="170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5E2C" w:rsidRDefault="00925E2C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25E2C" w:rsidRDefault="00E35FF2">
            <w:pPr>
              <w:pStyle w:val="ab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与转让相关</w:t>
            </w:r>
          </w:p>
          <w:p w:rsidR="00925E2C" w:rsidRDefault="00E35FF2">
            <w:pPr>
              <w:pStyle w:val="ab"/>
              <w:spacing w:before="0" w:after="0" w:line="300" w:lineRule="exact"/>
              <w:jc w:val="center"/>
              <w:rPr>
                <w:rFonts w:ascii="仿宋" w:eastAsia="仿宋" w:hAnsi="仿宋"/>
                <w:b/>
                <w:szCs w:val="24"/>
              </w:rPr>
            </w:pPr>
            <w:r>
              <w:rPr>
                <w:rFonts w:ascii="仿宋" w:eastAsia="仿宋" w:hAnsi="仿宋" w:hint="eastAsia"/>
                <w:b/>
                <w:szCs w:val="24"/>
              </w:rPr>
              <w:t>的其他条件</w:t>
            </w:r>
          </w:p>
        </w:tc>
        <w:tc>
          <w:tcPr>
            <w:tcW w:w="6029" w:type="dxa"/>
            <w:gridSpan w:val="7"/>
            <w:tcBorders>
              <w:top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如果意向受让方需要控股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内蒙古某矿业股份有限公司，另一股东“内蒙古某勘查开发有限责任公司”原则上同意出让部分或全部股权，具体方式可议，以保证潜在受让方控股的要求。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1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受让方</w:t>
            </w:r>
          </w:p>
          <w:p w:rsidR="00925E2C" w:rsidRDefault="00E35FF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资格条件</w:t>
            </w:r>
          </w:p>
        </w:tc>
        <w:tc>
          <w:tcPr>
            <w:tcW w:w="82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无</w:t>
            </w:r>
          </w:p>
        </w:tc>
      </w:tr>
      <w:tr w:rsidR="00925E2C" w:rsidTr="00FE733F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2"/>
          <w:jc w:val="center"/>
        </w:trPr>
        <w:tc>
          <w:tcPr>
            <w:tcW w:w="9927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5E2C" w:rsidRDefault="00E35FF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四、项目简介</w:t>
            </w:r>
          </w:p>
        </w:tc>
      </w:tr>
      <w:tr w:rsidR="00925E2C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927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E2C" w:rsidRDefault="00E35FF2">
            <w:pPr>
              <w:pStyle w:val="a5"/>
              <w:spacing w:line="260" w:lineRule="exact"/>
              <w:ind w:firstLine="482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概况：</w:t>
            </w:r>
            <w:r>
              <w:rPr>
                <w:rFonts w:ascii="仿宋" w:eastAsia="仿宋" w:hAnsi="仿宋" w:hint="eastAsia"/>
                <w:sz w:val="24"/>
              </w:rPr>
              <w:t>《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内蒙古自治区某铁多金属地质勘探》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（11.44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pacing w:val="10"/>
                <w:sz w:val="24"/>
              </w:rPr>
              <w:t>km</w:t>
            </w:r>
            <w:r>
              <w:rPr>
                <w:rFonts w:ascii="仿宋" w:eastAsia="仿宋" w:hAnsi="仿宋" w:hint="eastAsia"/>
                <w:b/>
                <w:spacing w:val="1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探矿权属于内蒙古某矿业股份有限公司（以下简称“内蒙公司”），该项目是内蒙公司唯一拥有的探矿权，目前已进入探转采阶段。内蒙公司于2011年10月成立，股权结构：内蒙古某勘查开发有限责任公司占51%股份，西藏某投资有限公司占49%股份。</w:t>
            </w:r>
          </w:p>
          <w:p w:rsidR="00925E2C" w:rsidRDefault="00E35FF2">
            <w:pPr>
              <w:pStyle w:val="a5"/>
              <w:spacing w:line="26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项目位置：矿区位于内蒙古巴彦淖尔市，距离内蒙古第二大口岸干其毛都（国家级口岸）50km。</w:t>
            </w:r>
          </w:p>
          <w:p w:rsidR="00925E2C" w:rsidRDefault="00E35FF2">
            <w:pPr>
              <w:pStyle w:val="a5"/>
              <w:ind w:firstLineChars="161" w:firstLine="386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noProof/>
                <w:spacing w:val="10"/>
                <w:sz w:val="24"/>
              </w:rPr>
              <w:drawing>
                <wp:inline distT="0" distB="0" distL="0" distR="0">
                  <wp:extent cx="3803648" cy="2317750"/>
                  <wp:effectExtent l="0" t="0" r="6985" b="6350"/>
                  <wp:docPr id="1027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/>
                        </pic:nvPicPr>
                        <pic:blipFill>
                          <a:blip r:embed="rId10" cstate="print">
                            <a:lum bright="12000" contrast="6000"/>
                          </a:blip>
                          <a:srcRect t="19649" b="9794"/>
                          <a:stretch/>
                        </pic:blipFill>
                        <pic:spPr>
                          <a:xfrm>
                            <a:off x="0" y="0"/>
                            <a:ext cx="3803648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5E2C" w:rsidRDefault="00E35FF2">
            <w:pPr>
              <w:spacing w:line="260" w:lineRule="exac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 xml:space="preserve">    </w:t>
            </w:r>
          </w:p>
          <w:p w:rsidR="00925E2C" w:rsidRDefault="00E35FF2">
            <w:pPr>
              <w:spacing w:line="260" w:lineRule="exact"/>
              <w:ind w:firstLineChars="200" w:firstLine="5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矿区南距东西向的国防公路约0.6km，向南距巴音前达门苏木约75km，东距海(海流图)-干(干其毛都口岸)省道S212公路约40km，其间有沙石国防路相通，交通便利。干其毛都口岸拥有两条铁路，一条为国家投资建设的西甘铁路（全长240公里的新建西甘铁路，南起包兰线的西小召站，北至中蒙边境甘其毛都口岸）；另一条为神华投资建设的甘泉铁路（甘泉铁路南起神华包神铁路万水泉南站，向西沿阴山山脉经巴彦淖尔市海流图镇、川井苏木到甘其毛都口岸，全长354公里）。</w:t>
            </w:r>
          </w:p>
          <w:p w:rsidR="00925E2C" w:rsidRDefault="00E35FF2">
            <w:pPr>
              <w:pStyle w:val="a5"/>
              <w:spacing w:line="26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2016年正在建设242国道甘临一级公路是国家规划的甘其毛都——广西钦州新增“纵十四”国道的重要组成部分，2018年建成后矿区交通将更加快捷。</w:t>
            </w:r>
          </w:p>
          <w:p w:rsidR="00925E2C" w:rsidRDefault="00E35FF2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3765549" cy="2305050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_t75"/>
                          <pic:cNvPicPr/>
                        </pic:nvPicPr>
                        <pic:blipFill>
                          <a:blip r:embed="rId11" cstate="print">
                            <a:lum bright="6000"/>
                          </a:blip>
                          <a:srcRect t="11341" b="19626"/>
                          <a:stretch/>
                        </pic:blipFill>
                        <pic:spPr>
                          <a:xfrm>
                            <a:off x="0" y="0"/>
                            <a:ext cx="3765549" cy="230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E2C" w:rsidRDefault="00925E2C">
            <w:pPr>
              <w:pStyle w:val="a5"/>
              <w:spacing w:line="30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</w:p>
          <w:p w:rsidR="00925E2C" w:rsidRDefault="00E35FF2">
            <w:pPr>
              <w:pStyle w:val="a5"/>
              <w:spacing w:line="30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截止2014年6月30日，该项目勘探区探明并完成储量备案的Ni金属量80149.94t，Ni平均品位0.39%，伴生Co金属量4005.42t，Co平均品位0.019%。</w:t>
            </w:r>
            <w:r>
              <w:rPr>
                <w:rFonts w:ascii="仿宋" w:eastAsia="仿宋" w:hAnsi="仿宋"/>
                <w:spacing w:val="10"/>
                <w:sz w:val="24"/>
              </w:rPr>
              <w:t>2012年-2014年完成了备用水源地12眼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深</w:t>
            </w:r>
            <w:r>
              <w:rPr>
                <w:rFonts w:ascii="仿宋" w:eastAsia="仿宋" w:hAnsi="仿宋"/>
                <w:spacing w:val="10"/>
                <w:sz w:val="24"/>
              </w:rPr>
              <w:t>水井施工，日出水量约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3</w:t>
            </w:r>
            <w:r>
              <w:rPr>
                <w:rFonts w:ascii="仿宋" w:eastAsia="仿宋" w:hAnsi="仿宋"/>
                <w:spacing w:val="10"/>
                <w:sz w:val="24"/>
              </w:rPr>
              <w:t>000吨。</w:t>
            </w:r>
          </w:p>
          <w:p w:rsidR="00925E2C" w:rsidRDefault="00E35FF2">
            <w:pPr>
              <w:pStyle w:val="a5"/>
              <w:spacing w:line="30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2014年内蒙古某勘查开发院还在该项目首采勘探区以外区域，探明储量（金属量）：镍9232.513吨，钴431.67吨（伴生）。</w:t>
            </w:r>
          </w:p>
          <w:p w:rsidR="00925E2C" w:rsidRDefault="00E35FF2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2832100" cy="1892300"/>
                  <wp:effectExtent l="0" t="0" r="6350" b="0"/>
                  <wp:docPr id="1030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12" cstate="print">
                            <a:lum bright="18000"/>
                          </a:blip>
                          <a:srcRect l="10722"/>
                          <a:stretch/>
                        </pic:blipFill>
                        <pic:spPr>
                          <a:xfrm>
                            <a:off x="0" y="0"/>
                            <a:ext cx="283210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 w:val="24"/>
              </w:rPr>
              <w:drawing>
                <wp:inline distT="0" distB="0" distL="0" distR="0">
                  <wp:extent cx="2628900" cy="1904999"/>
                  <wp:effectExtent l="0" t="0" r="0" b="0"/>
                  <wp:docPr id="103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t75"/>
                          <pic:cNvPicPr/>
                        </pic:nvPicPr>
                        <pic:blipFill>
                          <a:blip r:embed="rId13" cstate="print">
                            <a:lum bright="12000" contrast="1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28900" cy="1904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E2C" w:rsidRDefault="00925E2C">
            <w:pPr>
              <w:pStyle w:val="a5"/>
              <w:spacing w:line="30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</w:p>
          <w:p w:rsidR="00925E2C" w:rsidRDefault="00E35FF2">
            <w:pPr>
              <w:pStyle w:val="a5"/>
              <w:spacing w:line="30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该项目矿区所在地区镍钴矿成矿母岩为超基性岩，而蛇纹岩主要是超基性岩受低-中温热液交代作用，使原岩中的橄榄石和辉石发生蛇纹石化所形成的，矿物成分比较简单。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在该区域探明的厚大体蛇纹岩储量估计超过10000万吨，其中该镍矿项目矿区估算储量约2000万吨。蛇纹岩氧化镁（化验平均含量为41.89%）和二氧化硅（化验平均含量为35.81%）的含量非常丰富，其下游产品主要有耐火材料、建筑装饰材料、化肥、医药、提炼金属镁、雕刻材料、铸石或石棉的辅助材料和冶金熔剂原料等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蛇纹岩作为该矿区镍矿矿体围岩，建设和开采时必然产生大量蛇纹岩矿石，低端为初级利用耐火材料和冶炼溶剂，综合分析矿山在建设、开采过程中形成大量蛇纹岩矿石，只需进行简单的破碎、筛选工艺就能满足钢铁企业炼钢溶剂的需要，再考虑到装卸、运输、税收等成本后，其净利润约80-100元/吨，这样既减少了矿渣占用场地还可以大大的降低镍矿采矿成本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高端综合利用目前主要是生产高纯氧化镁、白炭黑、草酸盐铁、镍精矿。因此对蛇纹岩的综合开发利用对该矿区经济效益是非常有利的补充。</w:t>
            </w:r>
          </w:p>
          <w:p w:rsidR="00925E2C" w:rsidRDefault="00925E2C">
            <w:pPr>
              <w:pStyle w:val="a5"/>
              <w:spacing w:line="280" w:lineRule="exact"/>
              <w:ind w:firstLine="522"/>
              <w:rPr>
                <w:rFonts w:ascii="仿宋" w:eastAsia="仿宋" w:hAnsi="仿宋"/>
                <w:b/>
                <w:spacing w:val="10"/>
                <w:sz w:val="24"/>
              </w:rPr>
            </w:pPr>
          </w:p>
          <w:p w:rsidR="00925E2C" w:rsidRDefault="00E35FF2">
            <w:pPr>
              <w:pStyle w:val="a5"/>
              <w:spacing w:line="280" w:lineRule="exact"/>
              <w:ind w:firstLine="522"/>
              <w:rPr>
                <w:rFonts w:ascii="仿宋" w:eastAsia="仿宋" w:hAnsi="仿宋"/>
                <w:b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10"/>
                <w:sz w:val="24"/>
              </w:rPr>
              <w:t>目前该项目的进展情况：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/>
                <w:spacing w:val="10"/>
                <w:sz w:val="24"/>
              </w:rPr>
              <w:t>1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、2014年7月由内蒙古某勘查开发院编制完成该项目勘探报告。该地质报告已由内蒙古自治区矿产资源储量评审中心评审通过，并在内蒙古自治区国土资源厅备案。2016年9月5日，内蒙古自治区国土资源厅批复了该项目划定矿区范围申请，矿区面积约2.4255km</w:t>
            </w:r>
            <w:r>
              <w:rPr>
                <w:rFonts w:ascii="仿宋" w:eastAsia="仿宋" w:hAnsi="仿宋" w:hint="eastAsia"/>
                <w:spacing w:val="1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2、该项目矿产资源开发利用方案已于2016年9月28日通过评审。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（1）该项目矿山规模：资源储量(矿石量)为1847.95×10</w:t>
            </w:r>
            <w:r>
              <w:rPr>
                <w:rFonts w:ascii="仿宋" w:eastAsia="仿宋" w:hAnsi="仿宋" w:hint="eastAsia"/>
                <w:spacing w:val="10"/>
                <w:sz w:val="24"/>
                <w:vertAlign w:val="superscript"/>
              </w:rPr>
              <w:t>4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t，Ni金属量71560.60t，Ni的平均品位0.39%；伴生元素钴的矿石量为1847.95×10</w:t>
            </w:r>
            <w:r>
              <w:rPr>
                <w:rFonts w:ascii="仿宋" w:eastAsia="仿宋" w:hAnsi="仿宋" w:hint="eastAsia"/>
                <w:spacing w:val="10"/>
                <w:sz w:val="24"/>
                <w:vertAlign w:val="superscript"/>
              </w:rPr>
              <w:t>4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t，Co金属量3577.92t，Co平均品位0.019%。首期开采资源储量为465.23×10</w:t>
            </w:r>
            <w:r>
              <w:rPr>
                <w:rFonts w:ascii="仿宋" w:eastAsia="仿宋" w:hAnsi="仿宋" w:hint="eastAsia"/>
                <w:spacing w:val="10"/>
                <w:sz w:val="24"/>
                <w:vertAlign w:val="superscript"/>
              </w:rPr>
              <w:t>4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t，采用资源储量（矿石量）为419.06×10</w:t>
            </w:r>
            <w:r>
              <w:rPr>
                <w:rFonts w:ascii="仿宋" w:eastAsia="仿宋" w:hAnsi="仿宋" w:hint="eastAsia"/>
                <w:spacing w:val="10"/>
                <w:sz w:val="24"/>
                <w:vertAlign w:val="superscript"/>
              </w:rPr>
              <w:t>4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t。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（2）开发利用方案审定意见为：根据矿床地质特征和地质勘查程度，推荐矿山建设规模为采选矿石量45万t/a(1500t/d)，年工作日300天，矿山总服务年限为39.28年，首采区服务年限为8.91年。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/>
                <w:spacing w:val="10"/>
                <w:sz w:val="24"/>
              </w:rPr>
              <w:t>3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、2017年2月21日，该项目矿山地质环境方案通过了所在地政府国土主管部门审查。2017年3月16日，当地市政府环保局组织专家对该项目环境影响报告进行了评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lastRenderedPageBreak/>
              <w:t>审，并于2017年5月15日取得了批复。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4、2017年6月6日，签订了矿山地质环境治理责任书，并缴纳首期矿山环境治理保证金。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/>
                <w:spacing w:val="10"/>
                <w:sz w:val="24"/>
              </w:rPr>
              <w:t>5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、2018年2月8日取得《采矿证》，开发矿种：镍、钴矿，生产规模：45万吨/年，采矿证矿区面积：2.4255平方公里，探矿证面积9.02平方公里。</w:t>
            </w:r>
          </w:p>
          <w:p w:rsidR="00925E2C" w:rsidRDefault="00E35FF2">
            <w:pPr>
              <w:pStyle w:val="a5"/>
              <w:spacing w:line="280" w:lineRule="exact"/>
              <w:ind w:firstLine="52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spacing w:val="10"/>
                <w:sz w:val="24"/>
              </w:rPr>
              <w:t>6</w:t>
            </w:r>
            <w:r>
              <w:rPr>
                <w:rFonts w:ascii="仿宋" w:eastAsia="仿宋" w:hAnsi="仿宋" w:hint="eastAsia"/>
                <w:spacing w:val="10"/>
                <w:sz w:val="24"/>
              </w:rPr>
              <w:t>、现已完成项目建设用地规划预审，取得采矿证后，即可进行项目立项、建设用地审批事宜，该项目已经列为当地政府2018年度重点工业项目。</w:t>
            </w:r>
          </w:p>
        </w:tc>
      </w:tr>
    </w:tbl>
    <w:p w:rsidR="00925E2C" w:rsidRDefault="00925E2C">
      <w:pPr>
        <w:rPr>
          <w:rFonts w:ascii="宋体" w:hAnsi="宋体"/>
          <w:sz w:val="24"/>
          <w:szCs w:val="24"/>
        </w:rPr>
      </w:pPr>
    </w:p>
    <w:p w:rsidR="00925E2C" w:rsidRPr="00415490" w:rsidRDefault="00925E2C">
      <w:pPr>
        <w:rPr>
          <w:rFonts w:ascii="宋体" w:hAnsi="宋体"/>
          <w:sz w:val="24"/>
          <w:szCs w:val="24"/>
        </w:rPr>
      </w:pPr>
    </w:p>
    <w:p w:rsidR="00925E2C" w:rsidRDefault="00E35FF2">
      <w:pPr>
        <w:ind w:firstLineChars="266" w:firstLine="638"/>
        <w:jc w:val="left"/>
        <w:rPr>
          <w:rFonts w:ascii="宋体" w:hAnsi="宋体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222250</wp:posOffset>
                </wp:positionV>
                <wp:extent cx="3797300" cy="1596390"/>
                <wp:effectExtent l="0" t="0" r="12700" b="3810"/>
                <wp:wrapNone/>
                <wp:docPr id="103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5E2C" w:rsidRDefault="00E35FF2">
                            <w:pPr>
                              <w:spacing w:line="500" w:lineRule="exact"/>
                              <w:jc w:val="left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联系人：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陈先生（手机15801387861）</w:t>
                            </w:r>
                          </w:p>
                          <w:p w:rsidR="00925E2C" w:rsidRDefault="00E35FF2">
                            <w:pPr>
                              <w:spacing w:line="500" w:lineRule="exact"/>
                              <w:jc w:val="left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客服手机：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 xml:space="preserve">马芳芳 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188 2211 2880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（微信）</w:t>
                            </w:r>
                          </w:p>
                          <w:p w:rsidR="00925E2C" w:rsidRDefault="00E35FF2">
                            <w:pPr>
                              <w:spacing w:line="500" w:lineRule="exact"/>
                              <w:jc w:val="left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客服电话：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022-2835 3390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（直线）</w:t>
                            </w:r>
                          </w:p>
                          <w:p w:rsidR="00925E2C" w:rsidRDefault="00E35FF2">
                            <w:pPr>
                              <w:spacing w:line="500" w:lineRule="exact"/>
                              <w:jc w:val="left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service@cmextj.com</w:t>
                            </w:r>
                          </w:p>
                          <w:p w:rsidR="00925E2C" w:rsidRDefault="00925E2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f" style="position:absolute;margin-left:196.3pt;margin-top:17.5pt;width:299.0pt;height:125.7pt;z-index:2;mso-position-horizontal-relative:text;mso-position-vertical-relative:text;mso-width-relative:page;mso-height-relative:page;mso-wrap-distance-left:0.0pt;mso-wrap-distance-right:0.0pt;visibility:visible;v-text-anchor:middle;">
                <v:stroke on="f"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500"/>
                        <w:jc w:val="left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联系人：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陈先生（手机15801387861）</w:t>
                      </w:r>
                    </w:p>
                    <w:p>
                      <w:pPr>
                        <w:pStyle w:val="style0"/>
                        <w:spacing w:lineRule="exact" w:line="500"/>
                        <w:jc w:val="left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客服手机：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马芳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芳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188 2211 2880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（微信）</w:t>
                      </w:r>
                    </w:p>
                    <w:p>
                      <w:pPr>
                        <w:pStyle w:val="style0"/>
                        <w:spacing w:lineRule="exact" w:line="500"/>
                        <w:jc w:val="left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客服电话：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022-2835 3390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（直线）</w:t>
                      </w:r>
                    </w:p>
                    <w:p>
                      <w:pPr>
                        <w:pStyle w:val="style0"/>
                        <w:spacing w:lineRule="exact" w:line="500"/>
                        <w:jc w:val="left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邮箱：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service@cmextj.com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254760" cy="1245235"/>
            <wp:effectExtent l="0" t="0" r="2540" b="12065"/>
            <wp:docPr id="1034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2547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2C" w:rsidRDefault="00E35FF2">
      <w:pPr>
        <w:ind w:firstLineChars="175" w:firstLine="492"/>
        <w:jc w:val="left"/>
        <w:rPr>
          <w:rFonts w:ascii="幼圆" w:eastAsia="幼圆"/>
          <w:b/>
          <w:kern w:val="0"/>
          <w:sz w:val="28"/>
          <w:szCs w:val="28"/>
        </w:rPr>
      </w:pPr>
      <w:r>
        <w:rPr>
          <w:rFonts w:ascii="幼圆" w:eastAsia="幼圆" w:hint="eastAsia"/>
          <w:b/>
          <w:kern w:val="0"/>
          <w:sz w:val="28"/>
          <w:szCs w:val="28"/>
        </w:rPr>
        <w:t>交易所微信公众号</w:t>
      </w:r>
    </w:p>
    <w:sectPr w:rsidR="00925E2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46" w:rsidRDefault="00DE4A46">
      <w:r>
        <w:separator/>
      </w:r>
    </w:p>
  </w:endnote>
  <w:endnote w:type="continuationSeparator" w:id="0">
    <w:p w:rsidR="00DE4A46" w:rsidRDefault="00DE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2C" w:rsidRDefault="00E35FF2">
    <w:pPr>
      <w:pStyle w:val="a7"/>
      <w:ind w:left="7560" w:hangingChars="4200" w:hanging="7560"/>
    </w:pPr>
    <w:r>
      <w:rPr>
        <w:rFonts w:hint="eastAsia"/>
      </w:rPr>
      <w:t xml:space="preserve">                                                                                    </w:t>
    </w:r>
    <w:r>
      <w:rPr>
        <w:rFonts w:hint="eastAsia"/>
        <w:kern w:val="0"/>
        <w:sz w:val="28"/>
        <w:szCs w:val="28"/>
      </w:rPr>
      <w:t>www.cmextj.com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46" w:rsidRDefault="00DE4A46">
      <w:r>
        <w:separator/>
      </w:r>
    </w:p>
  </w:footnote>
  <w:footnote w:type="continuationSeparator" w:id="0">
    <w:p w:rsidR="00DE4A46" w:rsidRDefault="00DE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2C" w:rsidRDefault="00E35FF2">
    <w:pPr>
      <w:pStyle w:val="a8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5" cy="657098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185535" cy="65709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2C" w:rsidRDefault="00E35FF2">
    <w:pPr>
      <w:pStyle w:val="a8"/>
      <w:pBdr>
        <w:bottom w:val="single" w:sz="6" w:space="0" w:color="auto"/>
      </w:pBdr>
      <w:jc w:val="both"/>
      <w:rPr>
        <w:rFonts w:ascii="Cambria" w:hAnsi="Cambria"/>
        <w:color w:val="4F81BD"/>
      </w:rPr>
    </w:pPr>
    <w:r>
      <w:rPr>
        <w:b/>
        <w:noProof/>
        <w:sz w:val="21"/>
        <w:szCs w:val="21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5" cy="6570980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185535" cy="65709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noProof/>
        <w:sz w:val="21"/>
        <w:szCs w:val="21"/>
      </w:rPr>
      <w:drawing>
        <wp:inline distT="0" distB="0" distL="0" distR="0">
          <wp:extent cx="1874520" cy="224155"/>
          <wp:effectExtent l="0" t="0" r="0" b="4445"/>
          <wp:docPr id="4100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874520" cy="2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sz w:val="21"/>
        <w:szCs w:val="21"/>
      </w:rPr>
      <w:t xml:space="preserve">                                                </w:t>
    </w:r>
    <w:r>
      <w:rPr>
        <w:rFonts w:hint="eastAsia"/>
        <w:b/>
      </w:rPr>
      <w:t xml:space="preserve">    </w:t>
    </w:r>
    <w:r>
      <w:rPr>
        <w:rFonts w:hint="eastAsia"/>
        <w:b/>
      </w:rPr>
      <w:t>业务编号：</w:t>
    </w:r>
    <w:r>
      <w:rPr>
        <w:rFonts w:hint="eastAsia"/>
      </w:rPr>
      <w:t>G104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2C" w:rsidRDefault="00E35FF2">
    <w:pPr>
      <w:pStyle w:val="a8"/>
      <w:pBdr>
        <w:bottom w:val="single" w:sz="6" w:space="0" w:color="auto"/>
      </w:pBdr>
      <w:jc w:val="both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5" cy="6570980"/>
          <wp:effectExtent l="0" t="0" r="0" b="0"/>
          <wp:wrapNone/>
          <wp:docPr id="4101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185535" cy="65709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 xml:space="preserve">                                            </w:t>
    </w:r>
    <w:r>
      <w:rPr>
        <w:rFonts w:hint="eastAsia"/>
        <w:b/>
        <w:sz w:val="21"/>
        <w:szCs w:val="21"/>
      </w:rPr>
      <w:t>业务编号：</w:t>
    </w:r>
    <w:r>
      <w:rPr>
        <w:rFonts w:hint="eastAsia"/>
        <w:sz w:val="21"/>
        <w:szCs w:val="21"/>
      </w:rPr>
      <w:t xml:space="preserve">G104       </w:t>
    </w:r>
    <w:r>
      <w:rPr>
        <w:sz w:val="21"/>
        <w:szCs w:val="21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C"/>
    <w:rsid w:val="00415490"/>
    <w:rsid w:val="00776F46"/>
    <w:rsid w:val="00925E2C"/>
    <w:rsid w:val="00A834A4"/>
    <w:rsid w:val="00C23937"/>
    <w:rsid w:val="00DE4A46"/>
    <w:rsid w:val="00E35FF2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Normal Indent"/>
    <w:basedOn w:val="a"/>
    <w:link w:val="Char1"/>
    <w:pPr>
      <w:ind w:firstLineChars="200" w:firstLine="420"/>
    </w:pPr>
    <w:rPr>
      <w:color w:val="auto"/>
      <w:szCs w:val="24"/>
    </w:rPr>
  </w:style>
  <w:style w:type="paragraph" w:styleId="a6">
    <w:name w:val="Balloon Text"/>
    <w:basedOn w:val="a"/>
    <w:link w:val="Char2"/>
    <w:uiPriority w:val="99"/>
    <w:qFormat/>
    <w:rPr>
      <w:rFonts w:ascii="Calibri" w:hAnsi="Calibri" w:cs="宋体"/>
      <w:color w:val="auto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color w:val="auto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color w:val="auto"/>
      <w:sz w:val="18"/>
      <w:szCs w:val="18"/>
    </w:r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宋体"/>
      <w:color w:val="auto"/>
      <w:szCs w:val="22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customStyle="1" w:styleId="ab">
    <w:name w:val="正文表格"/>
    <w:basedOn w:val="a"/>
    <w:pPr>
      <w:spacing w:before="60" w:after="60"/>
    </w:pPr>
    <w:rPr>
      <w:color w:val="auto"/>
      <w:sz w:val="24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批注主题 Char"/>
    <w:basedOn w:val="Char0"/>
    <w:link w:val="a3"/>
    <w:uiPriority w:val="99"/>
    <w:qFormat/>
    <w:rPr>
      <w:rFonts w:ascii="Times New Roman" w:eastAsia="宋体" w:hAnsi="Times New Roman" w:cs="Times New Roman"/>
      <w:b/>
      <w:bCs/>
      <w:color w:val="000000"/>
      <w:szCs w:val="20"/>
    </w:rPr>
  </w:style>
  <w:style w:type="character" w:customStyle="1" w:styleId="Char1">
    <w:name w:val="正文缩进 Char"/>
    <w:basedOn w:val="a0"/>
    <w:link w:val="a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Normal Indent"/>
    <w:basedOn w:val="a"/>
    <w:link w:val="Char1"/>
    <w:pPr>
      <w:ind w:firstLineChars="200" w:firstLine="420"/>
    </w:pPr>
    <w:rPr>
      <w:color w:val="auto"/>
      <w:szCs w:val="24"/>
    </w:rPr>
  </w:style>
  <w:style w:type="paragraph" w:styleId="a6">
    <w:name w:val="Balloon Text"/>
    <w:basedOn w:val="a"/>
    <w:link w:val="Char2"/>
    <w:uiPriority w:val="99"/>
    <w:qFormat/>
    <w:rPr>
      <w:rFonts w:ascii="Calibri" w:hAnsi="Calibri" w:cs="宋体"/>
      <w:color w:val="auto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color w:val="auto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color w:val="auto"/>
      <w:sz w:val="18"/>
      <w:szCs w:val="18"/>
    </w:r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宋体"/>
      <w:color w:val="auto"/>
      <w:szCs w:val="22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customStyle="1" w:styleId="ab">
    <w:name w:val="正文表格"/>
    <w:basedOn w:val="a"/>
    <w:pPr>
      <w:spacing w:before="60" w:after="60"/>
    </w:pPr>
    <w:rPr>
      <w:color w:val="auto"/>
      <w:sz w:val="24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批注主题 Char"/>
    <w:basedOn w:val="Char0"/>
    <w:link w:val="a3"/>
    <w:uiPriority w:val="99"/>
    <w:qFormat/>
    <w:rPr>
      <w:rFonts w:ascii="Times New Roman" w:eastAsia="宋体" w:hAnsi="Times New Roman" w:cs="Times New Roman"/>
      <w:b/>
      <w:bCs/>
      <w:color w:val="000000"/>
      <w:szCs w:val="20"/>
    </w:rPr>
  </w:style>
  <w:style w:type="character" w:customStyle="1" w:styleId="Char1">
    <w:name w:val="正文缩进 Char"/>
    <w:basedOn w:val="a0"/>
    <w:link w:val="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BA641-4895-418D-985B-E4D1CFDF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</Words>
  <Characters>2461</Characters>
  <Application>Microsoft Office Word</Application>
  <DocSecurity>2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xixueyan</dc:creator>
  <cp:lastModifiedBy>Administrator</cp:lastModifiedBy>
  <cp:revision>2</cp:revision>
  <cp:lastPrinted>2017-09-09T02:04:00Z</cp:lastPrinted>
  <dcterms:created xsi:type="dcterms:W3CDTF">2018-03-12T07:55:00Z</dcterms:created>
  <dcterms:modified xsi:type="dcterms:W3CDTF">2018-03-12T07:55:00Z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